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B3CAA1" w14:textId="77777777" w:rsidR="00000000" w:rsidRDefault="00000000">
      <w:pPr>
        <w:widowControl/>
        <w:spacing w:line="460" w:lineRule="exact"/>
        <w:jc w:val="center"/>
        <w:rPr>
          <w:rFonts w:ascii="黑体" w:eastAsia="黑体" w:hint="eastAsia"/>
          <w:b/>
          <w:kern w:val="0"/>
          <w:sz w:val="44"/>
          <w:szCs w:val="44"/>
        </w:rPr>
      </w:pPr>
      <w:r>
        <w:rPr>
          <w:rFonts w:ascii="黑体" w:eastAsia="黑体" w:hint="eastAsia"/>
          <w:b/>
          <w:kern w:val="0"/>
          <w:sz w:val="44"/>
          <w:szCs w:val="44"/>
        </w:rPr>
        <w:t>转公积金贷款（直转）明白卡</w:t>
      </w:r>
    </w:p>
    <w:p w14:paraId="767180BD" w14:textId="77777777" w:rsidR="00000000" w:rsidRDefault="00000000">
      <w:pPr>
        <w:widowControl/>
        <w:spacing w:line="360" w:lineRule="exact"/>
        <w:jc w:val="center"/>
        <w:rPr>
          <w:rFonts w:ascii="黑体" w:eastAsia="黑体" w:hint="eastAsia"/>
          <w:b/>
          <w:kern w:val="0"/>
          <w:sz w:val="24"/>
          <w:szCs w:val="24"/>
        </w:rPr>
      </w:pPr>
    </w:p>
    <w:p w14:paraId="7B64D568" w14:textId="77777777" w:rsidR="00000000" w:rsidRDefault="00000000">
      <w:pPr>
        <w:spacing w:line="420" w:lineRule="exact"/>
        <w:ind w:firstLineChars="100" w:firstLine="241"/>
        <w:jc w:val="left"/>
        <w:rPr>
          <w:rFonts w:ascii="黑体" w:eastAsia="黑体" w:hAnsi="黑体" w:cs="黑体" w:hint="eastAsia"/>
          <w:b/>
          <w:sz w:val="24"/>
          <w:szCs w:val="24"/>
        </w:rPr>
      </w:pPr>
      <w:r>
        <w:rPr>
          <w:rFonts w:ascii="楷体" w:eastAsia="楷体" w:hAnsi="楷体" w:hint="eastAsia"/>
          <w:b/>
          <w:sz w:val="24"/>
          <w:szCs w:val="24"/>
        </w:rPr>
        <w:t xml:space="preserve">★ </w:t>
      </w:r>
      <w:r>
        <w:rPr>
          <w:rFonts w:ascii="黑体" w:eastAsia="黑体" w:hAnsi="黑体" w:cs="黑体" w:hint="eastAsia"/>
          <w:b/>
          <w:sz w:val="24"/>
          <w:szCs w:val="24"/>
        </w:rPr>
        <w:t>重要提示：</w:t>
      </w:r>
    </w:p>
    <w:p w14:paraId="665BF5A2" w14:textId="77777777" w:rsidR="00000000" w:rsidRDefault="00000000">
      <w:pPr>
        <w:spacing w:line="420" w:lineRule="exact"/>
        <w:ind w:firstLineChars="200" w:firstLine="480"/>
        <w:jc w:val="left"/>
        <w:rPr>
          <w:rFonts w:ascii="楷体" w:eastAsia="楷体" w:hAnsi="楷体" w:hint="eastAsia"/>
          <w:bCs/>
          <w:sz w:val="24"/>
          <w:szCs w:val="24"/>
        </w:rPr>
      </w:pPr>
      <w:r>
        <w:rPr>
          <w:rFonts w:ascii="楷体" w:eastAsia="楷体" w:hAnsi="楷体" w:hint="eastAsia"/>
          <w:bCs/>
          <w:sz w:val="24"/>
          <w:szCs w:val="24"/>
        </w:rPr>
        <w:t>1.所购住房已取得不动产权证书，原商贷正式抵押已办妥；</w:t>
      </w:r>
    </w:p>
    <w:p w14:paraId="70EB359E" w14:textId="77777777" w:rsidR="00000000" w:rsidRDefault="00000000">
      <w:pPr>
        <w:spacing w:line="420" w:lineRule="exact"/>
        <w:ind w:firstLineChars="200" w:firstLine="480"/>
        <w:jc w:val="left"/>
        <w:rPr>
          <w:rFonts w:ascii="楷体" w:eastAsia="楷体" w:hAnsi="楷体" w:hint="eastAsia"/>
          <w:kern w:val="0"/>
          <w:sz w:val="24"/>
          <w:szCs w:val="24"/>
        </w:rPr>
      </w:pPr>
      <w:r>
        <w:rPr>
          <w:rFonts w:ascii="楷体" w:eastAsia="楷体" w:hAnsi="楷体" w:hint="eastAsia"/>
          <w:kern w:val="0"/>
          <w:sz w:val="24"/>
          <w:szCs w:val="24"/>
        </w:rPr>
        <w:t>2.申请人原商业贷款应是“个人住房贷款”且贷款尚未结清；</w:t>
      </w:r>
    </w:p>
    <w:p w14:paraId="0A74F293" w14:textId="77777777" w:rsidR="00000000" w:rsidRDefault="00000000">
      <w:pPr>
        <w:spacing w:line="420" w:lineRule="exact"/>
        <w:ind w:firstLineChars="200" w:firstLine="480"/>
        <w:jc w:val="left"/>
        <w:rPr>
          <w:rFonts w:ascii="楷体" w:eastAsia="楷体" w:hAnsi="楷体" w:hint="eastAsia"/>
          <w:kern w:val="0"/>
          <w:sz w:val="24"/>
          <w:szCs w:val="24"/>
        </w:rPr>
      </w:pPr>
      <w:r>
        <w:rPr>
          <w:rFonts w:ascii="楷体" w:eastAsia="楷体" w:hAnsi="楷体" w:hint="eastAsia"/>
          <w:kern w:val="0"/>
          <w:sz w:val="24"/>
          <w:szCs w:val="24"/>
        </w:rPr>
        <w:t>3.</w:t>
      </w:r>
      <w:r>
        <w:rPr>
          <w:rFonts w:ascii="楷体" w:eastAsia="楷体" w:hAnsi="楷体" w:hint="eastAsia"/>
          <w:bCs/>
          <w:kern w:val="0"/>
          <w:sz w:val="24"/>
          <w:szCs w:val="24"/>
        </w:rPr>
        <w:t>办理申请转公积金贷款时，</w:t>
      </w:r>
      <w:r>
        <w:rPr>
          <w:rFonts w:ascii="楷体" w:eastAsia="楷体" w:hAnsi="楷体" w:hint="eastAsia"/>
          <w:kern w:val="0"/>
          <w:sz w:val="24"/>
          <w:szCs w:val="24"/>
        </w:rPr>
        <w:t>应具备连续按期足额缴存住房公积金6个月（含）以上；</w:t>
      </w:r>
    </w:p>
    <w:p w14:paraId="438AB4C3" w14:textId="77777777" w:rsidR="00000000" w:rsidRDefault="00000000">
      <w:pPr>
        <w:widowControl/>
        <w:spacing w:line="360" w:lineRule="exact"/>
        <w:ind w:firstLineChars="200" w:firstLine="480"/>
        <w:jc w:val="left"/>
        <w:rPr>
          <w:rFonts w:ascii="楷体" w:eastAsia="楷体" w:hAnsi="楷体" w:hint="eastAsia"/>
          <w:kern w:val="0"/>
          <w:sz w:val="24"/>
          <w:szCs w:val="24"/>
        </w:rPr>
      </w:pPr>
      <w:r>
        <w:rPr>
          <w:rFonts w:ascii="楷体" w:eastAsia="楷体" w:hAnsi="楷体" w:hint="eastAsia"/>
          <w:bCs/>
          <w:kern w:val="0"/>
          <w:sz w:val="24"/>
          <w:szCs w:val="24"/>
        </w:rPr>
        <w:t>4.转公积金贷款借款人与商业贷款借款人应一致；</w:t>
      </w:r>
    </w:p>
    <w:p w14:paraId="3B4581FE" w14:textId="77777777" w:rsidR="00000000" w:rsidRDefault="00000000">
      <w:pPr>
        <w:widowControl/>
        <w:spacing w:line="360" w:lineRule="exact"/>
        <w:ind w:firstLineChars="200" w:firstLine="480"/>
        <w:jc w:val="left"/>
        <w:rPr>
          <w:rFonts w:ascii="楷体" w:eastAsia="楷体" w:hAnsi="楷体" w:hint="eastAsia"/>
          <w:bCs/>
          <w:kern w:val="0"/>
          <w:sz w:val="24"/>
          <w:szCs w:val="24"/>
        </w:rPr>
      </w:pPr>
      <w:r>
        <w:rPr>
          <w:rFonts w:ascii="楷体" w:eastAsia="楷体" w:hAnsi="楷体" w:hint="eastAsia"/>
          <w:bCs/>
          <w:kern w:val="0"/>
          <w:sz w:val="24"/>
          <w:szCs w:val="24"/>
        </w:rPr>
        <w:t>5.</w:t>
      </w:r>
      <w:r>
        <w:rPr>
          <w:rFonts w:ascii="楷体" w:eastAsia="楷体" w:hAnsi="楷体" w:hint="eastAsia"/>
          <w:bCs/>
          <w:sz w:val="24"/>
          <w:szCs w:val="24"/>
        </w:rPr>
        <w:t>组合贷款不办理转公积金贷款；转公积金贷款不办理组合贷款；</w:t>
      </w:r>
    </w:p>
    <w:p w14:paraId="7498CF5A" w14:textId="77777777" w:rsidR="00000000" w:rsidRDefault="00000000">
      <w:pPr>
        <w:spacing w:line="360" w:lineRule="exact"/>
        <w:ind w:firstLineChars="200" w:firstLine="480"/>
        <w:rPr>
          <w:rFonts w:ascii="楷体" w:eastAsia="楷体" w:hAnsi="楷体" w:hint="eastAsia"/>
          <w:bCs/>
          <w:sz w:val="24"/>
          <w:szCs w:val="24"/>
        </w:rPr>
      </w:pPr>
      <w:r>
        <w:rPr>
          <w:rFonts w:ascii="楷体" w:eastAsia="楷体" w:hAnsi="楷体" w:hint="eastAsia"/>
          <w:bCs/>
          <w:kern w:val="0"/>
          <w:sz w:val="24"/>
          <w:szCs w:val="24"/>
        </w:rPr>
        <w:t>6.</w:t>
      </w:r>
      <w:r>
        <w:rPr>
          <w:rFonts w:ascii="楷体" w:eastAsia="楷体" w:hAnsi="楷体" w:hint="eastAsia"/>
          <w:sz w:val="24"/>
          <w:szCs w:val="24"/>
        </w:rPr>
        <w:t>贷款申请期限不得超过所购房屋的土地剩余使用年限；</w:t>
      </w:r>
    </w:p>
    <w:p w14:paraId="2557A6FC" w14:textId="77777777" w:rsidR="00000000" w:rsidRDefault="00000000">
      <w:pPr>
        <w:spacing w:line="360" w:lineRule="exact"/>
        <w:ind w:firstLineChars="200" w:firstLine="480"/>
        <w:rPr>
          <w:rFonts w:ascii="楷体" w:eastAsia="楷体" w:hAnsi="楷体" w:hint="eastAsia"/>
          <w:sz w:val="24"/>
          <w:szCs w:val="24"/>
        </w:rPr>
      </w:pPr>
      <w:r>
        <w:rPr>
          <w:rFonts w:ascii="楷体" w:eastAsia="楷体" w:hAnsi="楷体" w:hint="eastAsia"/>
          <w:bCs/>
          <w:sz w:val="24"/>
          <w:szCs w:val="24"/>
        </w:rPr>
        <w:t>7.</w:t>
      </w:r>
      <w:r>
        <w:rPr>
          <w:rFonts w:ascii="楷体" w:eastAsia="楷体" w:hAnsi="楷体" w:hint="eastAsia"/>
          <w:sz w:val="24"/>
          <w:szCs w:val="24"/>
        </w:rPr>
        <w:t>所涉房屋产权明晰、无产权纠纷，未设定除原商贷外其他抵押，未设立居住权，不存在诉讼立案或在途变更，无被法院查封或被其他行政手段限制等影响抵押权设立的情形；</w:t>
      </w:r>
    </w:p>
    <w:p w14:paraId="2EADCB9E" w14:textId="77777777" w:rsidR="00000000" w:rsidRDefault="00000000">
      <w:pPr>
        <w:spacing w:line="360" w:lineRule="exact"/>
        <w:ind w:firstLineChars="200" w:firstLine="480"/>
        <w:rPr>
          <w:rFonts w:ascii="楷体" w:eastAsia="楷体" w:hAnsi="楷体"/>
          <w:sz w:val="24"/>
          <w:szCs w:val="24"/>
        </w:rPr>
      </w:pPr>
      <w:r>
        <w:rPr>
          <w:rFonts w:ascii="楷体" w:eastAsia="楷体" w:hAnsi="楷体" w:hint="eastAsia"/>
          <w:sz w:val="24"/>
          <w:szCs w:val="24"/>
        </w:rPr>
        <w:t>8.</w:t>
      </w:r>
      <w:r>
        <w:rPr>
          <w:rFonts w:ascii="楷体" w:eastAsia="楷体" w:hAnsi="楷体" w:hint="eastAsia"/>
          <w:bCs/>
          <w:kern w:val="0"/>
          <w:sz w:val="24"/>
          <w:szCs w:val="24"/>
        </w:rPr>
        <w:t>“商转公”直转业务实行不动产“顺位抵押”登记模式；</w:t>
      </w:r>
    </w:p>
    <w:p w14:paraId="5C693D78" w14:textId="77777777" w:rsidR="00000000" w:rsidRDefault="00000000">
      <w:pPr>
        <w:spacing w:line="360" w:lineRule="exact"/>
        <w:ind w:firstLineChars="200" w:firstLine="480"/>
        <w:rPr>
          <w:rFonts w:ascii="楷体" w:eastAsia="楷体" w:hAnsi="楷体" w:hint="eastAsia"/>
          <w:kern w:val="0"/>
          <w:sz w:val="24"/>
          <w:szCs w:val="24"/>
        </w:rPr>
      </w:pPr>
      <w:r>
        <w:rPr>
          <w:rFonts w:ascii="楷体" w:eastAsia="楷体" w:hAnsi="楷体" w:hint="eastAsia"/>
          <w:bCs/>
          <w:kern w:val="0"/>
          <w:sz w:val="24"/>
          <w:szCs w:val="24"/>
        </w:rPr>
        <w:t>9.</w:t>
      </w:r>
      <w:r>
        <w:rPr>
          <w:rFonts w:ascii="楷体" w:eastAsia="楷体" w:hAnsi="楷体" w:hint="eastAsia"/>
          <w:kern w:val="0"/>
          <w:sz w:val="24"/>
          <w:szCs w:val="24"/>
        </w:rPr>
        <w:t>符合转贷条件的申请人征得原商贷银行同意后，向委贷银行提出“商转公”直转业务申请，并与委贷银行共同签订《烟台市商业性个人住房贷款转住房公积金贷款直转业务银行意见书》。</w:t>
      </w:r>
    </w:p>
    <w:p w14:paraId="4C6812F6" w14:textId="77777777" w:rsidR="00000000" w:rsidRDefault="00000000">
      <w:pPr>
        <w:spacing w:line="360" w:lineRule="exact"/>
        <w:ind w:firstLineChars="200" w:firstLine="480"/>
        <w:rPr>
          <w:rFonts w:ascii="楷体" w:eastAsia="楷体" w:hAnsi="楷体" w:hint="eastAsia"/>
          <w:b/>
          <w:bCs/>
          <w:sz w:val="24"/>
          <w:szCs w:val="24"/>
        </w:rPr>
      </w:pPr>
      <w:r>
        <w:rPr>
          <w:rFonts w:ascii="黑体" w:eastAsia="黑体" w:hAnsi="黑体" w:cs="黑体" w:hint="eastAsia"/>
          <w:bCs/>
          <w:kern w:val="0"/>
          <w:sz w:val="24"/>
          <w:szCs w:val="24"/>
        </w:rPr>
        <w:t>★</w:t>
      </w:r>
      <w:r>
        <w:rPr>
          <w:rFonts w:ascii="楷体" w:eastAsia="楷体" w:hAnsi="楷体" w:hint="eastAsia"/>
          <w:b/>
          <w:bCs/>
          <w:sz w:val="24"/>
          <w:szCs w:val="24"/>
        </w:rPr>
        <w:t>办理“商转公”直转业务应提交的材料：</w:t>
      </w:r>
    </w:p>
    <w:p w14:paraId="4FAC568F" w14:textId="77777777" w:rsidR="00000000" w:rsidRDefault="00000000">
      <w:pPr>
        <w:spacing w:line="360" w:lineRule="exact"/>
        <w:ind w:firstLineChars="200" w:firstLine="482"/>
        <w:rPr>
          <w:rFonts w:ascii="楷体" w:eastAsia="楷体" w:hAnsi="楷体"/>
          <w:b/>
          <w:bCs/>
          <w:sz w:val="24"/>
          <w:szCs w:val="24"/>
        </w:rPr>
      </w:pPr>
      <w:r>
        <w:rPr>
          <w:rFonts w:ascii="楷体" w:eastAsia="楷体" w:hAnsi="楷体" w:hint="eastAsia"/>
          <w:b/>
          <w:bCs/>
          <w:sz w:val="24"/>
          <w:szCs w:val="24"/>
        </w:rPr>
        <w:t>1.《烟台市商业性个人住房贷款转住房公积金贷款直转业务银行意见书》（委贷银行出具）;</w:t>
      </w:r>
    </w:p>
    <w:p w14:paraId="21819B12" w14:textId="77777777" w:rsidR="00000000" w:rsidRDefault="00000000">
      <w:pPr>
        <w:spacing w:line="360" w:lineRule="exact"/>
        <w:ind w:firstLineChars="200" w:firstLine="482"/>
        <w:rPr>
          <w:rFonts w:ascii="楷体" w:eastAsia="楷体" w:hAnsi="楷体" w:hint="eastAsia"/>
          <w:b/>
          <w:bCs/>
          <w:sz w:val="24"/>
          <w:szCs w:val="24"/>
        </w:rPr>
      </w:pPr>
      <w:r>
        <w:rPr>
          <w:rFonts w:ascii="楷体" w:eastAsia="楷体" w:hAnsi="楷体" w:hint="eastAsia"/>
          <w:b/>
          <w:bCs/>
          <w:sz w:val="24"/>
          <w:szCs w:val="24"/>
        </w:rPr>
        <w:t>2.《</w:t>
      </w:r>
      <w:r>
        <w:rPr>
          <w:rFonts w:ascii="楷体" w:eastAsia="楷体" w:hAnsi="楷体" w:hint="eastAsia"/>
          <w:b/>
          <w:sz w:val="24"/>
          <w:szCs w:val="24"/>
        </w:rPr>
        <w:t>烟台市住房公积金贷款申请审批表》</w:t>
      </w:r>
      <w:r>
        <w:rPr>
          <w:rFonts w:ascii="楷体" w:eastAsia="楷体" w:hAnsi="楷体" w:hint="eastAsia"/>
          <w:b/>
          <w:bCs/>
          <w:sz w:val="24"/>
          <w:szCs w:val="24"/>
        </w:rPr>
        <w:t>一式2份；</w:t>
      </w:r>
    </w:p>
    <w:p w14:paraId="0426C355" w14:textId="77777777" w:rsidR="00000000" w:rsidRDefault="00000000">
      <w:pPr>
        <w:spacing w:line="360" w:lineRule="exact"/>
        <w:ind w:firstLineChars="200" w:firstLine="482"/>
        <w:rPr>
          <w:rFonts w:ascii="楷体" w:eastAsia="楷体" w:hAnsi="楷体" w:hint="eastAsia"/>
          <w:b/>
          <w:sz w:val="24"/>
          <w:szCs w:val="24"/>
        </w:rPr>
      </w:pPr>
      <w:r>
        <w:rPr>
          <w:rFonts w:ascii="楷体" w:eastAsia="楷体" w:hAnsi="楷体" w:hint="eastAsia"/>
          <w:b/>
          <w:sz w:val="24"/>
          <w:szCs w:val="24"/>
        </w:rPr>
        <w:t>★填写要求：</w:t>
      </w:r>
    </w:p>
    <w:p w14:paraId="5E20336C" w14:textId="77777777" w:rsidR="00000000" w:rsidRDefault="00000000">
      <w:pPr>
        <w:spacing w:line="360" w:lineRule="exact"/>
        <w:ind w:firstLineChars="200" w:firstLine="480"/>
        <w:rPr>
          <w:rFonts w:ascii="楷体" w:eastAsia="楷体" w:hAnsi="楷体" w:hint="eastAsia"/>
          <w:sz w:val="24"/>
          <w:szCs w:val="24"/>
        </w:rPr>
      </w:pPr>
      <w:r>
        <w:rPr>
          <w:rFonts w:ascii="楷体" w:eastAsia="楷体" w:hAnsi="楷体" w:hint="eastAsia"/>
          <w:sz w:val="24"/>
          <w:szCs w:val="24"/>
        </w:rPr>
        <w:t>☆请使用</w:t>
      </w:r>
      <w:r>
        <w:rPr>
          <w:rFonts w:ascii="楷体" w:eastAsia="楷体" w:hAnsi="楷体" w:hint="eastAsia"/>
          <w:b/>
          <w:sz w:val="24"/>
          <w:szCs w:val="24"/>
        </w:rPr>
        <w:t>黑色签字笔。</w:t>
      </w:r>
    </w:p>
    <w:p w14:paraId="1461A222" w14:textId="77777777" w:rsidR="00000000" w:rsidRDefault="00000000">
      <w:pPr>
        <w:spacing w:line="360" w:lineRule="exact"/>
        <w:ind w:firstLineChars="200" w:firstLine="480"/>
        <w:rPr>
          <w:rFonts w:ascii="楷体" w:eastAsia="楷体" w:hAnsi="楷体" w:hint="eastAsia"/>
          <w:sz w:val="24"/>
          <w:szCs w:val="24"/>
        </w:rPr>
      </w:pPr>
      <w:r>
        <w:rPr>
          <w:rFonts w:ascii="楷体" w:eastAsia="楷体" w:hAnsi="楷体" w:hint="eastAsia"/>
          <w:sz w:val="24"/>
          <w:szCs w:val="24"/>
        </w:rPr>
        <w:t>☆个人信息部分</w:t>
      </w:r>
      <w:r>
        <w:rPr>
          <w:rFonts w:ascii="楷体" w:eastAsia="楷体" w:hAnsi="楷体" w:hint="eastAsia"/>
          <w:b/>
          <w:sz w:val="24"/>
          <w:szCs w:val="24"/>
        </w:rPr>
        <w:t>每空必填。</w:t>
      </w:r>
    </w:p>
    <w:p w14:paraId="0095BB69" w14:textId="77777777" w:rsidR="00000000" w:rsidRDefault="00000000">
      <w:pPr>
        <w:spacing w:line="360" w:lineRule="exact"/>
        <w:ind w:firstLineChars="200" w:firstLine="480"/>
        <w:rPr>
          <w:rFonts w:ascii="楷体" w:eastAsia="楷体" w:hAnsi="楷体" w:hint="eastAsia"/>
          <w:sz w:val="24"/>
          <w:szCs w:val="24"/>
        </w:rPr>
      </w:pPr>
      <w:r>
        <w:rPr>
          <w:rFonts w:ascii="楷体" w:eastAsia="楷体" w:hAnsi="楷体" w:hint="eastAsia"/>
          <w:sz w:val="24"/>
          <w:szCs w:val="24"/>
        </w:rPr>
        <w:t>☆共同借款人：指与借款人</w:t>
      </w:r>
      <w:r>
        <w:rPr>
          <w:rFonts w:ascii="楷体" w:eastAsia="楷体" w:hAnsi="楷体" w:hint="eastAsia"/>
          <w:b/>
          <w:sz w:val="24"/>
          <w:szCs w:val="24"/>
        </w:rPr>
        <w:t>共同买房、负有共同还款义务</w:t>
      </w:r>
      <w:r>
        <w:rPr>
          <w:rFonts w:ascii="楷体" w:eastAsia="楷体" w:hAnsi="楷体" w:hint="eastAsia"/>
          <w:bCs/>
          <w:sz w:val="24"/>
          <w:szCs w:val="24"/>
        </w:rPr>
        <w:t>的个人（含配偶），</w:t>
      </w:r>
      <w:r>
        <w:rPr>
          <w:rFonts w:ascii="楷体" w:eastAsia="楷体" w:hAnsi="楷体" w:hint="eastAsia"/>
          <w:sz w:val="24"/>
          <w:szCs w:val="24"/>
        </w:rPr>
        <w:t>没有的无需填写。</w:t>
      </w:r>
    </w:p>
    <w:p w14:paraId="0B436272" w14:textId="77777777" w:rsidR="00000000" w:rsidRDefault="00000000">
      <w:pPr>
        <w:spacing w:line="360" w:lineRule="exact"/>
        <w:ind w:firstLineChars="200" w:firstLine="480"/>
        <w:rPr>
          <w:rFonts w:ascii="楷体" w:eastAsia="楷体" w:hAnsi="楷体" w:hint="eastAsia"/>
          <w:sz w:val="24"/>
          <w:szCs w:val="24"/>
        </w:rPr>
      </w:pPr>
      <w:r>
        <w:rPr>
          <w:rFonts w:ascii="楷体" w:eastAsia="楷体" w:hAnsi="楷体" w:hint="eastAsia"/>
          <w:sz w:val="24"/>
          <w:szCs w:val="24"/>
        </w:rPr>
        <w:t>☆</w:t>
      </w:r>
      <w:r>
        <w:rPr>
          <w:rFonts w:ascii="楷体" w:eastAsia="楷体" w:hAnsi="楷体" w:hint="eastAsia"/>
          <w:bCs/>
          <w:sz w:val="24"/>
          <w:szCs w:val="24"/>
        </w:rPr>
        <w:t>申请人、配偶、共同借款人在</w:t>
      </w:r>
      <w:r>
        <w:rPr>
          <w:rFonts w:ascii="楷体" w:eastAsia="楷体" w:hAnsi="楷体" w:hint="eastAsia"/>
          <w:sz w:val="24"/>
          <w:szCs w:val="24"/>
        </w:rPr>
        <w:t>申请表中的签名需要</w:t>
      </w:r>
      <w:r>
        <w:rPr>
          <w:rFonts w:ascii="楷体" w:eastAsia="楷体" w:hAnsi="楷体" w:hint="eastAsia"/>
          <w:b/>
          <w:bCs/>
          <w:sz w:val="24"/>
          <w:szCs w:val="24"/>
        </w:rPr>
        <w:t>面签</w:t>
      </w:r>
      <w:r>
        <w:rPr>
          <w:rFonts w:ascii="楷体" w:eastAsia="楷体" w:hAnsi="楷体" w:hint="eastAsia"/>
          <w:sz w:val="24"/>
          <w:szCs w:val="24"/>
        </w:rPr>
        <w:t>。</w:t>
      </w:r>
    </w:p>
    <w:p w14:paraId="332464D7" w14:textId="77777777" w:rsidR="00000000" w:rsidRDefault="00000000">
      <w:pPr>
        <w:spacing w:line="360" w:lineRule="exact"/>
        <w:ind w:firstLineChars="200" w:firstLine="482"/>
        <w:rPr>
          <w:rFonts w:ascii="楷体" w:eastAsia="楷体" w:hAnsi="楷体" w:hint="eastAsia"/>
          <w:sz w:val="24"/>
          <w:szCs w:val="24"/>
        </w:rPr>
      </w:pPr>
      <w:r>
        <w:rPr>
          <w:rFonts w:ascii="楷体" w:eastAsia="楷体" w:hAnsi="楷体" w:hint="eastAsia"/>
          <w:b/>
          <w:bCs/>
          <w:sz w:val="24"/>
          <w:szCs w:val="24"/>
        </w:rPr>
        <w:t>3.身份与婚姻证明</w:t>
      </w:r>
      <w:r>
        <w:rPr>
          <w:rFonts w:ascii="楷体" w:eastAsia="楷体" w:hAnsi="楷体" w:hint="eastAsia"/>
          <w:bCs/>
          <w:sz w:val="24"/>
          <w:szCs w:val="24"/>
        </w:rPr>
        <w:t>（申请人、配偶、共同借款人均提供）</w:t>
      </w:r>
    </w:p>
    <w:p w14:paraId="163D5EA4" w14:textId="77777777" w:rsidR="00000000" w:rsidRDefault="00000000">
      <w:pPr>
        <w:spacing w:line="360" w:lineRule="exact"/>
        <w:ind w:firstLineChars="200" w:firstLine="480"/>
        <w:rPr>
          <w:rFonts w:ascii="楷体" w:eastAsia="楷体" w:hAnsi="楷体" w:hint="eastAsia"/>
          <w:sz w:val="24"/>
          <w:szCs w:val="24"/>
        </w:rPr>
      </w:pPr>
      <w:r>
        <w:rPr>
          <w:rFonts w:ascii="楷体" w:eastAsia="楷体" w:hAnsi="楷体" w:hint="eastAsia"/>
          <w:sz w:val="24"/>
          <w:szCs w:val="24"/>
        </w:rPr>
        <w:t xml:space="preserve">⑴ </w:t>
      </w:r>
      <w:r>
        <w:rPr>
          <w:rFonts w:ascii="楷体" w:eastAsia="楷体" w:hAnsi="楷体" w:hint="eastAsia"/>
          <w:b/>
          <w:bCs/>
          <w:sz w:val="24"/>
          <w:szCs w:val="24"/>
        </w:rPr>
        <w:t xml:space="preserve">身份证 </w:t>
      </w:r>
      <w:r>
        <w:rPr>
          <w:rFonts w:ascii="楷体" w:eastAsia="楷体" w:hAnsi="楷体" w:hint="eastAsia"/>
          <w:bCs/>
          <w:sz w:val="24"/>
          <w:szCs w:val="24"/>
        </w:rPr>
        <w:t>原件；</w:t>
      </w:r>
      <w:r>
        <w:rPr>
          <w:rFonts w:ascii="楷体" w:eastAsia="楷体" w:hAnsi="楷体" w:hint="eastAsia"/>
          <w:b/>
          <w:bCs/>
          <w:sz w:val="24"/>
          <w:szCs w:val="24"/>
        </w:rPr>
        <w:t>（可使用电子证照）</w:t>
      </w:r>
    </w:p>
    <w:p w14:paraId="4B648332" w14:textId="77777777" w:rsidR="00000000" w:rsidRDefault="00000000">
      <w:pPr>
        <w:spacing w:line="360" w:lineRule="exact"/>
        <w:ind w:firstLineChars="200" w:firstLine="480"/>
        <w:rPr>
          <w:rFonts w:ascii="楷体" w:eastAsia="楷体" w:hAnsi="楷体" w:hint="eastAsia"/>
          <w:bCs/>
          <w:sz w:val="24"/>
          <w:szCs w:val="24"/>
        </w:rPr>
      </w:pPr>
      <w:r>
        <w:rPr>
          <w:rFonts w:ascii="楷体" w:eastAsia="楷体" w:hAnsi="楷体" w:hint="eastAsia"/>
          <w:sz w:val="24"/>
          <w:szCs w:val="24"/>
        </w:rPr>
        <w:t xml:space="preserve">⑵ </w:t>
      </w:r>
      <w:r>
        <w:rPr>
          <w:rFonts w:ascii="楷体" w:eastAsia="楷体" w:hAnsi="楷体" w:hint="eastAsia"/>
          <w:b/>
          <w:sz w:val="24"/>
          <w:szCs w:val="24"/>
        </w:rPr>
        <w:t>户口簿</w:t>
      </w:r>
      <w:r>
        <w:rPr>
          <w:rFonts w:ascii="楷体" w:eastAsia="楷体" w:hAnsi="楷体" w:hint="eastAsia"/>
          <w:bCs/>
          <w:color w:val="000000"/>
          <w:sz w:val="24"/>
          <w:szCs w:val="24"/>
        </w:rPr>
        <w:t>（家庭户提供首页和常住人口登记卡、集体户提供常住人口登记卡）</w:t>
      </w:r>
      <w:r>
        <w:rPr>
          <w:rFonts w:ascii="楷体" w:eastAsia="楷体" w:hAnsi="楷体" w:hint="eastAsia"/>
          <w:bCs/>
          <w:sz w:val="24"/>
          <w:szCs w:val="24"/>
        </w:rPr>
        <w:t>原件；</w:t>
      </w:r>
    </w:p>
    <w:p w14:paraId="6A09ED8A" w14:textId="77777777" w:rsidR="00000000" w:rsidRDefault="00000000">
      <w:pPr>
        <w:spacing w:line="360" w:lineRule="exact"/>
        <w:ind w:firstLineChars="200" w:firstLine="480"/>
        <w:rPr>
          <w:rFonts w:ascii="楷体" w:eastAsia="楷体" w:hAnsi="楷体" w:hint="eastAsia"/>
          <w:sz w:val="24"/>
          <w:szCs w:val="24"/>
        </w:rPr>
      </w:pPr>
      <w:r>
        <w:rPr>
          <w:rFonts w:ascii="楷体" w:eastAsia="楷体" w:hAnsi="楷体" w:hint="eastAsia"/>
          <w:sz w:val="24"/>
          <w:szCs w:val="24"/>
        </w:rPr>
        <w:t xml:space="preserve">⑶ </w:t>
      </w:r>
      <w:r>
        <w:rPr>
          <w:rFonts w:ascii="楷体" w:eastAsia="楷体" w:hAnsi="楷体" w:hint="eastAsia"/>
          <w:b/>
          <w:spacing w:val="-4"/>
          <w:sz w:val="24"/>
          <w:szCs w:val="24"/>
        </w:rPr>
        <w:t>婚姻状况证明</w:t>
      </w:r>
      <w:r>
        <w:rPr>
          <w:rFonts w:ascii="楷体" w:eastAsia="楷体" w:hAnsi="楷体" w:hint="eastAsia"/>
          <w:bCs/>
          <w:sz w:val="24"/>
          <w:szCs w:val="24"/>
        </w:rPr>
        <w:t>原件</w:t>
      </w:r>
      <w:r>
        <w:rPr>
          <w:rFonts w:ascii="楷体" w:eastAsia="楷体" w:hAnsi="楷体" w:hint="eastAsia"/>
          <w:sz w:val="24"/>
          <w:szCs w:val="24"/>
        </w:rPr>
        <w:t>，包括结婚证</w:t>
      </w:r>
      <w:r>
        <w:rPr>
          <w:rFonts w:ascii="楷体" w:eastAsia="楷体" w:hAnsi="楷体" w:hint="eastAsia"/>
          <w:b/>
          <w:bCs/>
          <w:sz w:val="24"/>
          <w:szCs w:val="24"/>
        </w:rPr>
        <w:t>（可使用电子证照）</w:t>
      </w:r>
      <w:r>
        <w:rPr>
          <w:rFonts w:ascii="楷体" w:eastAsia="楷体" w:hAnsi="楷体" w:hint="eastAsia"/>
          <w:sz w:val="24"/>
          <w:szCs w:val="24"/>
        </w:rPr>
        <w:t>、离婚证</w:t>
      </w:r>
      <w:r>
        <w:rPr>
          <w:rFonts w:ascii="楷体" w:eastAsia="楷体" w:hAnsi="楷体" w:hint="eastAsia"/>
          <w:b/>
          <w:bCs/>
          <w:sz w:val="24"/>
          <w:szCs w:val="24"/>
        </w:rPr>
        <w:t>（可使用电子证照）</w:t>
      </w:r>
      <w:r>
        <w:rPr>
          <w:rFonts w:ascii="楷体" w:eastAsia="楷体" w:hAnsi="楷体" w:hint="eastAsia"/>
          <w:sz w:val="24"/>
          <w:szCs w:val="24"/>
        </w:rPr>
        <w:t>及离婚协议书、离婚判决（调解）书等。</w:t>
      </w:r>
    </w:p>
    <w:p w14:paraId="19EABD86" w14:textId="77777777" w:rsidR="00000000" w:rsidRDefault="00000000">
      <w:pPr>
        <w:spacing w:line="360" w:lineRule="exact"/>
        <w:ind w:firstLineChars="200" w:firstLine="480"/>
        <w:rPr>
          <w:rFonts w:ascii="楷体" w:eastAsia="楷体" w:hAnsi="楷体" w:hint="eastAsia"/>
          <w:sz w:val="24"/>
          <w:szCs w:val="24"/>
        </w:rPr>
      </w:pPr>
      <w:r>
        <w:rPr>
          <w:rFonts w:ascii="楷体" w:eastAsia="楷体" w:hAnsi="楷体" w:hint="eastAsia"/>
          <w:sz w:val="24"/>
          <w:szCs w:val="24"/>
        </w:rPr>
        <w:t xml:space="preserve">☆ </w:t>
      </w:r>
      <w:r>
        <w:rPr>
          <w:rFonts w:ascii="楷体" w:eastAsia="楷体" w:hAnsi="楷体" w:hint="eastAsia"/>
          <w:w w:val="98"/>
          <w:sz w:val="24"/>
          <w:szCs w:val="24"/>
        </w:rPr>
        <w:t>配偶死亡没有进行户口注销的，需提供死亡证明原件</w:t>
      </w:r>
    </w:p>
    <w:p w14:paraId="5D7570DB" w14:textId="77777777" w:rsidR="00000000" w:rsidRDefault="00000000">
      <w:pPr>
        <w:spacing w:line="340" w:lineRule="exact"/>
        <w:ind w:firstLineChars="200" w:firstLine="482"/>
        <w:rPr>
          <w:rFonts w:ascii="楷体" w:eastAsia="楷体" w:hAnsi="楷体" w:hint="eastAsia"/>
          <w:bCs/>
          <w:sz w:val="24"/>
          <w:szCs w:val="24"/>
        </w:rPr>
      </w:pPr>
      <w:r>
        <w:rPr>
          <w:rFonts w:ascii="楷体" w:eastAsia="楷体" w:hAnsi="楷体" w:hint="eastAsia"/>
          <w:b/>
          <w:bCs/>
          <w:sz w:val="24"/>
          <w:szCs w:val="24"/>
        </w:rPr>
        <w:t xml:space="preserve">4.购房合同 </w:t>
      </w:r>
      <w:r>
        <w:rPr>
          <w:rFonts w:ascii="楷体" w:eastAsia="楷体" w:hAnsi="楷体" w:hint="eastAsia"/>
          <w:bCs/>
          <w:sz w:val="24"/>
          <w:szCs w:val="24"/>
        </w:rPr>
        <w:t>原件（</w:t>
      </w:r>
      <w:r>
        <w:rPr>
          <w:rFonts w:ascii="楷体" w:eastAsia="楷体" w:hAnsi="楷体" w:hint="eastAsia"/>
          <w:sz w:val="24"/>
          <w:szCs w:val="24"/>
        </w:rPr>
        <w:t xml:space="preserve">二手房交易实现网上签约的提供 </w:t>
      </w:r>
      <w:r>
        <w:rPr>
          <w:rFonts w:ascii="楷体" w:eastAsia="楷体" w:hAnsi="楷体" w:hint="eastAsia"/>
          <w:b/>
          <w:bCs/>
          <w:sz w:val="24"/>
          <w:szCs w:val="24"/>
        </w:rPr>
        <w:t>烟台市存量房屋买卖合同</w:t>
      </w:r>
      <w:r>
        <w:rPr>
          <w:rFonts w:ascii="楷体" w:eastAsia="楷体" w:hAnsi="楷体" w:hint="eastAsia"/>
          <w:sz w:val="24"/>
          <w:szCs w:val="24"/>
        </w:rPr>
        <w:t>原件，</w:t>
      </w:r>
      <w:r>
        <w:rPr>
          <w:rFonts w:ascii="楷体" w:eastAsia="楷体" w:hAnsi="楷体" w:hint="eastAsia"/>
          <w:bCs/>
          <w:sz w:val="24"/>
          <w:szCs w:val="24"/>
        </w:rPr>
        <w:t>未实现网上签约的提供</w:t>
      </w:r>
      <w:r>
        <w:rPr>
          <w:rFonts w:ascii="楷体" w:eastAsia="楷体" w:hAnsi="楷体" w:hint="eastAsia"/>
          <w:kern w:val="0"/>
          <w:sz w:val="24"/>
          <w:szCs w:val="24"/>
        </w:rPr>
        <w:t>房屋所在地不动产管理部门</w:t>
      </w:r>
      <w:r>
        <w:rPr>
          <w:rFonts w:ascii="楷体" w:eastAsia="楷体" w:hAnsi="楷体" w:hint="eastAsia"/>
          <w:b/>
          <w:bCs/>
          <w:sz w:val="24"/>
          <w:szCs w:val="24"/>
        </w:rPr>
        <w:t>查档件</w:t>
      </w:r>
      <w:r>
        <w:rPr>
          <w:rFonts w:ascii="楷体" w:eastAsia="楷体" w:hAnsi="楷体" w:hint="eastAsia"/>
          <w:sz w:val="24"/>
          <w:szCs w:val="24"/>
        </w:rPr>
        <w:t>）</w:t>
      </w:r>
    </w:p>
    <w:p w14:paraId="7D775DB8" w14:textId="77777777" w:rsidR="00000000" w:rsidRDefault="00000000">
      <w:pPr>
        <w:spacing w:line="360" w:lineRule="exact"/>
        <w:ind w:firstLineChars="200" w:firstLine="482"/>
        <w:rPr>
          <w:rFonts w:ascii="楷体" w:eastAsia="楷体" w:hAnsi="楷体" w:hint="eastAsia"/>
          <w:bCs/>
          <w:sz w:val="24"/>
          <w:szCs w:val="24"/>
        </w:rPr>
      </w:pPr>
      <w:r>
        <w:rPr>
          <w:rFonts w:ascii="楷体" w:eastAsia="楷体" w:hAnsi="楷体" w:hint="eastAsia"/>
          <w:b/>
          <w:bCs/>
          <w:sz w:val="24"/>
          <w:szCs w:val="24"/>
        </w:rPr>
        <w:t>5.</w:t>
      </w:r>
      <w:r>
        <w:rPr>
          <w:rFonts w:ascii="楷体" w:eastAsia="楷体" w:hAnsi="楷体" w:hint="eastAsia"/>
          <w:sz w:val="24"/>
          <w:szCs w:val="24"/>
        </w:rPr>
        <w:t>原</w:t>
      </w:r>
      <w:r>
        <w:rPr>
          <w:rFonts w:ascii="楷体" w:eastAsia="楷体" w:hAnsi="楷体" w:hint="eastAsia"/>
          <w:spacing w:val="-2"/>
          <w:sz w:val="24"/>
          <w:szCs w:val="24"/>
        </w:rPr>
        <w:t>商业贷款</w:t>
      </w:r>
      <w:r>
        <w:rPr>
          <w:rFonts w:ascii="楷体" w:eastAsia="楷体" w:hAnsi="楷体" w:hint="eastAsia"/>
          <w:b/>
          <w:spacing w:val="-2"/>
          <w:sz w:val="24"/>
          <w:szCs w:val="24"/>
        </w:rPr>
        <w:t xml:space="preserve">借款合同 </w:t>
      </w:r>
      <w:r>
        <w:rPr>
          <w:rFonts w:ascii="楷体" w:eastAsia="楷体" w:hAnsi="楷体" w:hint="eastAsia"/>
          <w:bCs/>
          <w:sz w:val="24"/>
          <w:szCs w:val="24"/>
        </w:rPr>
        <w:t>原件</w:t>
      </w:r>
    </w:p>
    <w:p w14:paraId="675345B7" w14:textId="77777777" w:rsidR="00000000" w:rsidRDefault="00000000">
      <w:pPr>
        <w:spacing w:line="360" w:lineRule="exact"/>
        <w:ind w:firstLineChars="200" w:firstLine="482"/>
        <w:rPr>
          <w:rFonts w:ascii="楷体" w:eastAsia="楷体" w:hAnsi="楷体" w:hint="eastAsia"/>
          <w:bCs/>
          <w:sz w:val="24"/>
          <w:szCs w:val="24"/>
        </w:rPr>
      </w:pPr>
      <w:r>
        <w:rPr>
          <w:rFonts w:ascii="楷体" w:eastAsia="楷体" w:hAnsi="楷体" w:hint="eastAsia"/>
          <w:b/>
          <w:bCs/>
          <w:sz w:val="24"/>
          <w:szCs w:val="24"/>
        </w:rPr>
        <w:t>6.</w:t>
      </w:r>
      <w:r>
        <w:rPr>
          <w:rFonts w:ascii="楷体" w:eastAsia="楷体" w:hAnsi="楷体" w:hint="eastAsia"/>
          <w:b/>
          <w:spacing w:val="-2"/>
          <w:sz w:val="24"/>
          <w:szCs w:val="24"/>
        </w:rPr>
        <w:t>不动产权证书</w:t>
      </w:r>
      <w:r>
        <w:rPr>
          <w:rFonts w:ascii="楷体" w:eastAsia="楷体" w:hAnsi="楷体" w:hint="eastAsia"/>
          <w:bCs/>
          <w:spacing w:val="-2"/>
          <w:sz w:val="24"/>
          <w:szCs w:val="24"/>
        </w:rPr>
        <w:t>（或产权人一致的</w:t>
      </w:r>
      <w:r>
        <w:rPr>
          <w:rFonts w:ascii="楷体" w:eastAsia="楷体" w:hAnsi="楷体" w:hint="eastAsia"/>
          <w:b/>
          <w:spacing w:val="-2"/>
          <w:sz w:val="24"/>
          <w:szCs w:val="24"/>
        </w:rPr>
        <w:t>房产证+土地证</w:t>
      </w:r>
      <w:r>
        <w:rPr>
          <w:rFonts w:ascii="楷体" w:eastAsia="楷体" w:hAnsi="楷体" w:hint="eastAsia"/>
          <w:bCs/>
          <w:spacing w:val="-2"/>
          <w:sz w:val="24"/>
          <w:szCs w:val="24"/>
        </w:rPr>
        <w:t>）</w:t>
      </w:r>
      <w:r>
        <w:rPr>
          <w:rFonts w:ascii="楷体" w:eastAsia="楷体" w:hAnsi="楷体" w:hint="eastAsia"/>
          <w:b/>
          <w:spacing w:val="-2"/>
          <w:sz w:val="24"/>
          <w:szCs w:val="24"/>
        </w:rPr>
        <w:t xml:space="preserve"> </w:t>
      </w:r>
      <w:r>
        <w:rPr>
          <w:rFonts w:ascii="楷体" w:eastAsia="楷体" w:hAnsi="楷体" w:hint="eastAsia"/>
          <w:bCs/>
          <w:sz w:val="24"/>
          <w:szCs w:val="24"/>
        </w:rPr>
        <w:t>原件（</w:t>
      </w:r>
      <w:r>
        <w:rPr>
          <w:rFonts w:ascii="楷体" w:eastAsia="楷体" w:hAnsi="楷体" w:hint="eastAsia"/>
          <w:b/>
          <w:bCs/>
          <w:sz w:val="24"/>
          <w:szCs w:val="24"/>
        </w:rPr>
        <w:t>可使用电子证照</w:t>
      </w:r>
      <w:r>
        <w:rPr>
          <w:rFonts w:ascii="楷体" w:eastAsia="楷体" w:hAnsi="楷体" w:hint="eastAsia"/>
          <w:bCs/>
          <w:sz w:val="24"/>
          <w:szCs w:val="24"/>
        </w:rPr>
        <w:t>）</w:t>
      </w:r>
    </w:p>
    <w:p w14:paraId="00A670A6" w14:textId="77777777" w:rsidR="00000000" w:rsidRDefault="00000000">
      <w:pPr>
        <w:spacing w:line="360" w:lineRule="exact"/>
        <w:ind w:firstLineChars="200" w:firstLine="474"/>
        <w:rPr>
          <w:rFonts w:ascii="楷体" w:eastAsia="楷体" w:hAnsi="楷体"/>
          <w:b/>
          <w:spacing w:val="-2"/>
          <w:sz w:val="24"/>
          <w:szCs w:val="24"/>
        </w:rPr>
      </w:pPr>
      <w:r>
        <w:rPr>
          <w:rFonts w:ascii="楷体" w:eastAsia="楷体" w:hAnsi="楷体" w:hint="eastAsia"/>
          <w:b/>
          <w:spacing w:val="-2"/>
          <w:sz w:val="24"/>
          <w:szCs w:val="24"/>
        </w:rPr>
        <w:t xml:space="preserve">7.全额购房款发票 </w:t>
      </w:r>
      <w:r>
        <w:rPr>
          <w:rFonts w:ascii="楷体" w:eastAsia="楷体" w:hAnsi="楷体" w:hint="eastAsia"/>
          <w:bCs/>
          <w:spacing w:val="-2"/>
          <w:sz w:val="24"/>
          <w:szCs w:val="24"/>
        </w:rPr>
        <w:t>原件</w:t>
      </w:r>
      <w:r>
        <w:rPr>
          <w:rFonts w:ascii="楷体" w:eastAsia="楷体" w:hAnsi="楷体" w:hint="eastAsia"/>
          <w:b/>
          <w:spacing w:val="-2"/>
          <w:sz w:val="24"/>
          <w:szCs w:val="24"/>
        </w:rPr>
        <w:t>（或查档件）</w:t>
      </w:r>
    </w:p>
    <w:p w14:paraId="0C3C4AC1" w14:textId="77777777" w:rsidR="00000000" w:rsidRDefault="00000000">
      <w:pPr>
        <w:spacing w:line="360" w:lineRule="exact"/>
        <w:ind w:firstLineChars="200" w:firstLine="482"/>
        <w:rPr>
          <w:rFonts w:hint="eastAsia"/>
        </w:rPr>
      </w:pPr>
      <w:r>
        <w:rPr>
          <w:rFonts w:ascii="楷体" w:eastAsia="楷体" w:hAnsi="楷体" w:hint="eastAsia"/>
          <w:b/>
          <w:bCs/>
          <w:sz w:val="24"/>
          <w:szCs w:val="24"/>
        </w:rPr>
        <w:t>★材料备齐后，请按1</w:t>
      </w:r>
      <w:r>
        <w:rPr>
          <w:rFonts w:ascii="楷体" w:eastAsia="楷体" w:hAnsi="楷体"/>
          <w:b/>
          <w:bCs/>
          <w:sz w:val="24"/>
          <w:szCs w:val="24"/>
        </w:rPr>
        <w:t>–</w:t>
      </w:r>
      <w:r>
        <w:rPr>
          <w:rFonts w:ascii="楷体" w:eastAsia="楷体" w:hAnsi="楷体" w:hint="eastAsia"/>
          <w:b/>
          <w:bCs/>
          <w:sz w:val="24"/>
          <w:szCs w:val="24"/>
        </w:rPr>
        <w:t>7的顺序排列，申请即时受理，2个工作日审批完结。</w:t>
      </w:r>
    </w:p>
    <w:p w14:paraId="000C754E" w14:textId="77777777" w:rsidR="00000000" w:rsidRDefault="00000000">
      <w:pPr>
        <w:spacing w:line="600" w:lineRule="exact"/>
        <w:ind w:left="900" w:hangingChars="300" w:hanging="900"/>
        <w:jc w:val="center"/>
        <w:rPr>
          <w:rFonts w:ascii="黑体" w:eastAsia="黑体" w:hAnsi="黑体" w:cs="黑体" w:hint="eastAsia"/>
          <w:bCs/>
          <w:color w:val="000000"/>
          <w:sz w:val="30"/>
          <w:szCs w:val="30"/>
        </w:rPr>
      </w:pPr>
    </w:p>
    <w:p w14:paraId="78FCF03C" w14:textId="77777777" w:rsidR="00000000" w:rsidRDefault="00000000">
      <w:pPr>
        <w:spacing w:line="600" w:lineRule="exact"/>
        <w:ind w:left="900" w:hangingChars="300" w:hanging="900"/>
        <w:jc w:val="center"/>
        <w:rPr>
          <w:rFonts w:ascii="楷体" w:eastAsia="楷体" w:hAnsi="楷体" w:hint="eastAsia"/>
          <w:b/>
          <w:color w:val="000000"/>
          <w:sz w:val="30"/>
          <w:szCs w:val="30"/>
        </w:rPr>
      </w:pPr>
      <w:r>
        <w:rPr>
          <w:rFonts w:ascii="黑体" w:eastAsia="黑体" w:hAnsi="黑体" w:cs="黑体" w:hint="eastAsia"/>
          <w:bCs/>
          <w:color w:val="000000"/>
          <w:sz w:val="30"/>
          <w:szCs w:val="30"/>
        </w:rPr>
        <w:lastRenderedPageBreak/>
        <w:t>友 情 提 示</w:t>
      </w:r>
    </w:p>
    <w:p w14:paraId="1A992D84" w14:textId="77777777" w:rsidR="00000000" w:rsidRDefault="00000000">
      <w:pPr>
        <w:spacing w:line="300" w:lineRule="exact"/>
        <w:ind w:firstLineChars="200" w:firstLine="442"/>
        <w:rPr>
          <w:rFonts w:ascii="楷体" w:eastAsia="楷体" w:hAnsi="楷体" w:hint="eastAsia"/>
          <w:b/>
          <w:color w:val="000000"/>
          <w:sz w:val="22"/>
          <w:szCs w:val="22"/>
        </w:rPr>
      </w:pPr>
      <w:r>
        <w:rPr>
          <w:rFonts w:ascii="楷体" w:eastAsia="楷体" w:hAnsi="楷体" w:hint="eastAsia"/>
          <w:b/>
          <w:color w:val="000000"/>
          <w:sz w:val="22"/>
          <w:szCs w:val="22"/>
        </w:rPr>
        <w:t>一、贷款额度及年限</w:t>
      </w:r>
    </w:p>
    <w:p w14:paraId="0173E644" w14:textId="77777777" w:rsidR="00000000" w:rsidRDefault="00000000">
      <w:pPr>
        <w:spacing w:line="300" w:lineRule="exact"/>
        <w:ind w:firstLineChars="200" w:firstLine="440"/>
        <w:rPr>
          <w:rFonts w:ascii="楷体" w:eastAsia="楷体" w:hAnsi="楷体" w:cs="楷体" w:hint="eastAsia"/>
          <w:sz w:val="22"/>
          <w:szCs w:val="22"/>
        </w:rPr>
      </w:pPr>
      <w:r>
        <w:rPr>
          <w:rFonts w:ascii="楷体" w:eastAsia="楷体" w:hAnsi="楷体" w:cs="楷体" w:hint="eastAsia"/>
          <w:sz w:val="22"/>
          <w:szCs w:val="22"/>
        </w:rPr>
        <w:t>在我市“商转公”直转业务贷款最高限额80万（多孩家庭最高100万）内，贷款额度按以下四项计算结果的最低值确定：</w:t>
      </w:r>
    </w:p>
    <w:p w14:paraId="565572DA" w14:textId="77777777" w:rsidR="00000000" w:rsidRDefault="00000000">
      <w:pPr>
        <w:spacing w:line="300" w:lineRule="exact"/>
        <w:ind w:firstLineChars="200" w:firstLine="440"/>
        <w:rPr>
          <w:rFonts w:ascii="楷体" w:eastAsia="楷体" w:hAnsi="楷体" w:cs="楷体"/>
          <w:sz w:val="22"/>
          <w:szCs w:val="22"/>
        </w:rPr>
      </w:pPr>
      <w:r>
        <w:rPr>
          <w:rFonts w:ascii="楷体" w:eastAsia="楷体" w:hAnsi="楷体" w:cs="楷体" w:hint="eastAsia"/>
          <w:sz w:val="22"/>
          <w:szCs w:val="22"/>
        </w:rPr>
        <w:t>（一）按评估价值、购房合同价值和发票金额最低值认定房产价值，作为计算基数确定贷款额度：首套住房贷款额度不得超过房产价值的80%，二套住房贷款额度不得超过房产价值的70%。</w:t>
      </w:r>
    </w:p>
    <w:p w14:paraId="2723FF39" w14:textId="77777777" w:rsidR="00000000" w:rsidRDefault="00000000">
      <w:pPr>
        <w:spacing w:line="300" w:lineRule="exact"/>
        <w:ind w:firstLineChars="200" w:firstLine="440"/>
        <w:rPr>
          <w:rFonts w:ascii="楷体" w:eastAsia="楷体" w:hAnsi="楷体" w:cs="楷体"/>
          <w:sz w:val="22"/>
          <w:szCs w:val="22"/>
        </w:rPr>
      </w:pPr>
      <w:r>
        <w:rPr>
          <w:rFonts w:ascii="楷体" w:eastAsia="楷体" w:hAnsi="楷体" w:cs="楷体" w:hint="eastAsia"/>
          <w:sz w:val="22"/>
          <w:szCs w:val="22"/>
        </w:rPr>
        <w:t>（二）按原商贷剩余本金扣减近3个月应还本金总额，向下取万元整数倍（只舍不入）。</w:t>
      </w:r>
    </w:p>
    <w:p w14:paraId="2B02ED79" w14:textId="77777777" w:rsidR="00000000" w:rsidRDefault="00000000">
      <w:pPr>
        <w:spacing w:line="300" w:lineRule="exact"/>
        <w:ind w:firstLineChars="200" w:firstLine="440"/>
        <w:rPr>
          <w:rFonts w:ascii="楷体" w:eastAsia="楷体" w:hAnsi="楷体" w:cs="楷体" w:hint="eastAsia"/>
          <w:b/>
          <w:color w:val="000000"/>
          <w:sz w:val="22"/>
          <w:szCs w:val="22"/>
        </w:rPr>
      </w:pPr>
      <w:r>
        <w:rPr>
          <w:rFonts w:ascii="楷体" w:eastAsia="楷体" w:hAnsi="楷体" w:cs="楷体" w:hint="eastAsia"/>
          <w:color w:val="000000"/>
          <w:sz w:val="22"/>
          <w:szCs w:val="22"/>
        </w:rPr>
        <w:t>（三）按偿还贷款能力计算的贷款额度。</w:t>
      </w:r>
    </w:p>
    <w:p w14:paraId="2A5D048A" w14:textId="77777777" w:rsidR="00000000" w:rsidRDefault="00000000">
      <w:pPr>
        <w:spacing w:line="300" w:lineRule="exact"/>
        <w:rPr>
          <w:rFonts w:ascii="楷体" w:eastAsia="楷体" w:hAnsi="楷体" w:cs="楷体" w:hint="eastAsia"/>
          <w:color w:val="000000"/>
          <w:sz w:val="22"/>
          <w:szCs w:val="22"/>
        </w:rPr>
      </w:pPr>
      <w:r>
        <w:rPr>
          <w:rFonts w:ascii="楷体" w:eastAsia="楷体" w:hAnsi="楷体" w:cs="楷体" w:hint="eastAsia"/>
          <w:color w:val="000000"/>
          <w:sz w:val="22"/>
          <w:szCs w:val="22"/>
        </w:rPr>
        <w:t xml:space="preserve">    计算公式：（申请住房公积金贷款的月还款额+商业贷款的月还款额+担保的月还款额+其他负债的月还款额）/（借款申请人月收入+共同申请人月收入）≤50%（月收入按缴存基数认定）</w:t>
      </w:r>
    </w:p>
    <w:p w14:paraId="4D83E3D8" w14:textId="77777777" w:rsidR="00000000" w:rsidRDefault="00000000">
      <w:pPr>
        <w:spacing w:line="300" w:lineRule="exact"/>
        <w:ind w:firstLineChars="200" w:firstLine="440"/>
        <w:rPr>
          <w:rFonts w:ascii="楷体" w:eastAsia="楷体" w:hAnsi="楷体" w:cs="楷体" w:hint="eastAsia"/>
          <w:color w:val="000000"/>
          <w:sz w:val="22"/>
          <w:szCs w:val="22"/>
        </w:rPr>
      </w:pPr>
      <w:r>
        <w:rPr>
          <w:rFonts w:ascii="楷体" w:eastAsia="楷体" w:hAnsi="楷体" w:cs="楷体" w:hint="eastAsia"/>
          <w:color w:val="000000"/>
          <w:sz w:val="22"/>
          <w:szCs w:val="22"/>
        </w:rPr>
        <w:t>（四）按住房公积金账户正常缴存余额的倍数计算的贷款额度。</w:t>
      </w:r>
    </w:p>
    <w:p w14:paraId="57C8BAC5" w14:textId="77777777" w:rsidR="00000000" w:rsidRDefault="00000000">
      <w:pPr>
        <w:spacing w:line="300" w:lineRule="exact"/>
        <w:ind w:firstLineChars="200" w:firstLine="440"/>
        <w:rPr>
          <w:rFonts w:ascii="楷体" w:eastAsia="楷体" w:hAnsi="楷体" w:cs="楷体" w:hint="eastAsia"/>
          <w:color w:val="000000"/>
          <w:sz w:val="22"/>
          <w:szCs w:val="22"/>
        </w:rPr>
      </w:pPr>
      <w:r>
        <w:rPr>
          <w:rFonts w:ascii="楷体" w:eastAsia="楷体" w:hAnsi="楷体" w:cs="楷体" w:hint="eastAsia"/>
          <w:color w:val="000000"/>
          <w:sz w:val="22"/>
          <w:szCs w:val="22"/>
        </w:rPr>
        <w:t>计算公式：贷款额度＝（借款申请人住房公积金账户正常缴存余额+共同申请人住房公积金账户正常缴存余额）×30倍（取整）。</w:t>
      </w:r>
    </w:p>
    <w:p w14:paraId="4AB20795" w14:textId="77777777" w:rsidR="00000000" w:rsidRDefault="00000000">
      <w:pPr>
        <w:spacing w:line="300" w:lineRule="exact"/>
        <w:ind w:firstLineChars="200" w:firstLine="440"/>
        <w:rPr>
          <w:rFonts w:ascii="楷体" w:eastAsia="楷体" w:hAnsi="楷体" w:cs="楷体" w:hint="eastAsia"/>
          <w:color w:val="000000"/>
          <w:sz w:val="22"/>
          <w:szCs w:val="22"/>
        </w:rPr>
      </w:pPr>
      <w:r>
        <w:rPr>
          <w:rFonts w:ascii="楷体" w:eastAsia="楷体" w:hAnsi="楷体" w:cs="楷体" w:hint="eastAsia"/>
          <w:color w:val="000000"/>
          <w:sz w:val="22"/>
          <w:szCs w:val="22"/>
        </w:rPr>
        <w:t>借款申请人按住房公积金账户正常缴存余额计算可贷额度低于20万元，在同时符合第（一）（二）（三）项计算结果的，按20万元确定贷款额度。</w:t>
      </w:r>
    </w:p>
    <w:p w14:paraId="2AD9CE2D" w14:textId="77777777" w:rsidR="00000000" w:rsidRDefault="00000000">
      <w:pPr>
        <w:pStyle w:val="a6"/>
        <w:widowControl/>
        <w:spacing w:line="420" w:lineRule="atLeast"/>
        <w:ind w:firstLineChars="200" w:firstLine="442"/>
        <w:contextualSpacing/>
        <w:rPr>
          <w:rFonts w:ascii="楷体" w:eastAsia="楷体" w:hAnsi="楷体" w:hint="eastAsia"/>
          <w:color w:val="000000"/>
          <w:sz w:val="22"/>
          <w:szCs w:val="22"/>
        </w:rPr>
      </w:pPr>
      <w:r>
        <w:rPr>
          <w:rFonts w:ascii="楷体" w:eastAsia="楷体" w:hAnsi="楷体" w:hint="eastAsia"/>
          <w:b/>
          <w:color w:val="000000"/>
          <w:sz w:val="22"/>
          <w:szCs w:val="22"/>
        </w:rPr>
        <w:t>贷款最长年限为30年，</w:t>
      </w:r>
      <w:r>
        <w:rPr>
          <w:rFonts w:ascii="楷体" w:eastAsia="楷体" w:hAnsi="楷体" w:hint="eastAsia"/>
          <w:color w:val="000000"/>
          <w:sz w:val="22"/>
          <w:szCs w:val="22"/>
        </w:rPr>
        <w:t>男性不超过65周岁，女性不超过60周岁，且不超过所购房屋土地使用权剩余年限和30年的低者。</w:t>
      </w:r>
    </w:p>
    <w:p w14:paraId="00C74F2C" w14:textId="77777777" w:rsidR="00000000" w:rsidRDefault="00000000">
      <w:pPr>
        <w:spacing w:line="300" w:lineRule="exact"/>
        <w:ind w:firstLineChars="200" w:firstLine="440"/>
        <w:rPr>
          <w:rFonts w:ascii="楷体" w:eastAsia="楷体" w:hAnsi="楷体" w:cs="楷体" w:hint="eastAsia"/>
          <w:color w:val="000000"/>
          <w:sz w:val="22"/>
          <w:szCs w:val="22"/>
        </w:rPr>
      </w:pPr>
    </w:p>
    <w:p w14:paraId="7934EEA6" w14:textId="77777777" w:rsidR="00000000" w:rsidRDefault="00000000">
      <w:pPr>
        <w:spacing w:line="300" w:lineRule="exact"/>
        <w:ind w:firstLineChars="200" w:firstLine="442"/>
        <w:rPr>
          <w:rFonts w:ascii="楷体" w:eastAsia="楷体" w:hAnsi="楷体" w:cs="楷体" w:hint="eastAsia"/>
          <w:color w:val="000000"/>
          <w:sz w:val="22"/>
          <w:szCs w:val="22"/>
        </w:rPr>
      </w:pPr>
      <w:r>
        <w:rPr>
          <w:rFonts w:ascii="楷体" w:eastAsia="楷体" w:hAnsi="楷体" w:hint="eastAsia"/>
          <w:b/>
          <w:color w:val="000000"/>
          <w:sz w:val="22"/>
          <w:szCs w:val="22"/>
        </w:rPr>
        <w:t>二、差别化信贷政策。</w:t>
      </w:r>
      <w:r>
        <w:rPr>
          <w:rFonts w:ascii="楷体" w:eastAsia="楷体" w:hAnsi="楷体" w:cs="楷体" w:hint="eastAsia"/>
          <w:color w:val="000000"/>
          <w:sz w:val="22"/>
          <w:szCs w:val="22"/>
        </w:rPr>
        <w:t>住房套数认定执行“认房不认贷”政策。</w:t>
      </w:r>
    </w:p>
    <w:p w14:paraId="7EB441D3" w14:textId="77777777" w:rsidR="00000000" w:rsidRDefault="00000000">
      <w:pPr>
        <w:spacing w:line="300" w:lineRule="exact"/>
        <w:ind w:firstLineChars="200" w:firstLine="440"/>
        <w:rPr>
          <w:rFonts w:ascii="楷体" w:eastAsia="楷体" w:hAnsi="楷体" w:cs="楷体" w:hint="eastAsia"/>
          <w:color w:val="000000"/>
          <w:sz w:val="22"/>
          <w:szCs w:val="22"/>
        </w:rPr>
      </w:pPr>
      <w:r>
        <w:rPr>
          <w:rFonts w:ascii="楷体" w:eastAsia="楷体" w:hAnsi="楷体" w:cs="楷体" w:hint="eastAsia"/>
          <w:color w:val="000000"/>
          <w:sz w:val="22"/>
          <w:szCs w:val="22"/>
        </w:rPr>
        <w:t>借款人家庭（包括借款人、配偶及未成年子女）住房套数以该家庭在烟台市行政区域内实际持有房屋数量为标准认定。</w:t>
      </w:r>
    </w:p>
    <w:p w14:paraId="644E3A34" w14:textId="77777777" w:rsidR="00000000" w:rsidRDefault="00000000">
      <w:pPr>
        <w:spacing w:line="300" w:lineRule="exact"/>
        <w:ind w:firstLineChars="200" w:firstLine="440"/>
        <w:rPr>
          <w:rFonts w:ascii="楷体" w:eastAsia="楷体" w:hAnsi="楷体" w:cs="楷体" w:hint="eastAsia"/>
          <w:color w:val="000000"/>
          <w:sz w:val="22"/>
          <w:szCs w:val="22"/>
        </w:rPr>
      </w:pPr>
      <w:r>
        <w:rPr>
          <w:rFonts w:ascii="楷体" w:eastAsia="楷体" w:hAnsi="楷体" w:cs="楷体" w:hint="eastAsia"/>
          <w:color w:val="000000"/>
          <w:sz w:val="22"/>
          <w:szCs w:val="22"/>
        </w:rPr>
        <w:t>缴存职工家庭（含夫妻双方）可申请两次公积金贷款；首次贷款没有结清，不得再次申请。</w:t>
      </w:r>
    </w:p>
    <w:p w14:paraId="281BD527" w14:textId="77777777" w:rsidR="00000000" w:rsidRDefault="00000000">
      <w:pPr>
        <w:spacing w:line="300" w:lineRule="exact"/>
        <w:ind w:firstLineChars="200" w:firstLine="440"/>
        <w:rPr>
          <w:rFonts w:ascii="楷体" w:eastAsia="楷体" w:hAnsi="楷体" w:cs="楷体" w:hint="eastAsia"/>
          <w:color w:val="000000"/>
          <w:sz w:val="22"/>
          <w:szCs w:val="22"/>
        </w:rPr>
      </w:pPr>
      <w:r>
        <w:rPr>
          <w:rFonts w:ascii="楷体" w:eastAsia="楷体" w:hAnsi="楷体" w:cs="楷体" w:hint="eastAsia"/>
          <w:color w:val="000000"/>
          <w:sz w:val="22"/>
          <w:szCs w:val="22"/>
        </w:rPr>
        <w:t>不得向已经两次使用住房公积金贷款的缴存职工家庭发放住房公积金个人住房贷款。</w:t>
      </w:r>
    </w:p>
    <w:p w14:paraId="4ECD0119" w14:textId="77777777" w:rsidR="00000000" w:rsidRDefault="00000000">
      <w:pPr>
        <w:spacing w:line="300" w:lineRule="exact"/>
        <w:ind w:firstLineChars="200" w:firstLine="440"/>
        <w:rPr>
          <w:rFonts w:ascii="楷体" w:eastAsia="楷体" w:hAnsi="楷体" w:cs="楷体" w:hint="eastAsia"/>
          <w:color w:val="000000"/>
          <w:sz w:val="22"/>
          <w:szCs w:val="22"/>
        </w:rPr>
      </w:pPr>
      <w:r>
        <w:rPr>
          <w:rFonts w:ascii="楷体" w:eastAsia="楷体" w:hAnsi="楷体" w:cs="楷体" w:hint="eastAsia"/>
          <w:color w:val="000000"/>
          <w:sz w:val="22"/>
          <w:szCs w:val="22"/>
        </w:rPr>
        <w:t>不得向购买第三套及以上住房的缴存职工家庭发放住房公积金个人住房贷款。</w:t>
      </w:r>
    </w:p>
    <w:p w14:paraId="29B0044F" w14:textId="77777777" w:rsidR="00000000" w:rsidRDefault="00000000">
      <w:pPr>
        <w:spacing w:line="300" w:lineRule="exact"/>
        <w:ind w:firstLineChars="200" w:firstLine="442"/>
        <w:rPr>
          <w:rFonts w:ascii="楷体" w:eastAsia="楷体" w:hAnsi="楷体" w:cs="宋体" w:hint="eastAsia"/>
          <w:color w:val="000000"/>
          <w:kern w:val="0"/>
          <w:sz w:val="22"/>
          <w:szCs w:val="22"/>
        </w:rPr>
      </w:pPr>
      <w:r>
        <w:rPr>
          <w:rFonts w:ascii="楷体" w:eastAsia="楷体" w:hAnsi="楷体" w:hint="eastAsia"/>
          <w:b/>
          <w:color w:val="000000"/>
          <w:sz w:val="22"/>
          <w:szCs w:val="22"/>
        </w:rPr>
        <w:t>三、贷款偿还</w:t>
      </w:r>
      <w:r>
        <w:rPr>
          <w:rFonts w:ascii="楷体" w:eastAsia="楷体" w:hAnsi="楷体" w:hint="eastAsia"/>
          <w:bCs/>
          <w:color w:val="000000"/>
          <w:sz w:val="22"/>
          <w:szCs w:val="22"/>
        </w:rPr>
        <w:t xml:space="preserve"> 1.每月20日为公积金贷款扣款日，借款人应于每月19日前足额存入还款账户。2.提前还款在放款后任意日可以申请，不收违约金。3.按月冲还贷业务，当月申请，当月生效，每月20号自动划转申请人的公积金缴存账户余额冲还公积金贷款本息，不足部分从借款人的银行还款账户继续扣划。4.在贷款期内遇利率调整，从次年1月1日起执行新利率。</w:t>
      </w:r>
    </w:p>
    <w:p w14:paraId="60A21793" w14:textId="77777777" w:rsidR="00000000" w:rsidRDefault="00000000">
      <w:pPr>
        <w:spacing w:line="300" w:lineRule="exact"/>
        <w:ind w:firstLineChars="200" w:firstLine="442"/>
        <w:rPr>
          <w:rFonts w:ascii="楷体" w:eastAsia="楷体" w:hAnsi="楷体" w:cs="宋体" w:hint="eastAsia"/>
          <w:color w:val="000000"/>
          <w:kern w:val="0"/>
          <w:sz w:val="22"/>
          <w:szCs w:val="22"/>
        </w:rPr>
      </w:pPr>
      <w:r>
        <w:rPr>
          <w:rFonts w:ascii="楷体" w:eastAsia="楷体" w:hAnsi="楷体" w:hint="eastAsia"/>
          <w:b/>
          <w:color w:val="000000"/>
          <w:sz w:val="22"/>
          <w:szCs w:val="22"/>
        </w:rPr>
        <w:t>四、还款方式。</w:t>
      </w:r>
      <w:r>
        <w:rPr>
          <w:rFonts w:ascii="楷体" w:eastAsia="楷体" w:hAnsi="楷体" w:cs="楷体" w:hint="eastAsia"/>
          <w:color w:val="000000"/>
          <w:sz w:val="22"/>
          <w:szCs w:val="22"/>
        </w:rPr>
        <w:t>分</w:t>
      </w:r>
      <w:r>
        <w:rPr>
          <w:rFonts w:ascii="楷体" w:eastAsia="楷体" w:hAnsi="楷体" w:cs="宋体" w:hint="eastAsia"/>
          <w:color w:val="000000"/>
          <w:kern w:val="0"/>
          <w:sz w:val="22"/>
          <w:szCs w:val="22"/>
        </w:rPr>
        <w:t>等额本息与等额本金两种还款方式。</w:t>
      </w:r>
      <w:r>
        <w:rPr>
          <w:rFonts w:ascii="楷体" w:eastAsia="楷体" w:hAnsi="楷体" w:cs="楷体" w:hint="eastAsia"/>
          <w:color w:val="000000"/>
          <w:sz w:val="22"/>
          <w:szCs w:val="22"/>
        </w:rPr>
        <w:t>正常还贷12个月后可以申请变更一次还款方式。</w:t>
      </w:r>
      <w:r>
        <w:rPr>
          <w:rFonts w:ascii="楷体" w:eastAsia="楷体" w:hAnsi="楷体" w:cs="宋体" w:hint="eastAsia"/>
          <w:color w:val="000000"/>
          <w:kern w:val="0"/>
          <w:sz w:val="22"/>
          <w:szCs w:val="22"/>
        </w:rPr>
        <w:t>等额本息每月按相同金额偿还贷款本息，月还款中利息逐月递减，本金逐月递增；等额本金每月还款本金保持相同金额，利息逐月递减。在相同条件下，等额本金方式能节省更多利息，但前期还贷压力较大；等额本息方式每月偿还贷款额度相同，还贷稳定，但支付利息较多。（例：80万元30年利率2.85％，采用等额本金比等额本息少付利息约48095.27元）。</w:t>
      </w:r>
    </w:p>
    <w:p w14:paraId="456F4A2E" w14:textId="77777777" w:rsidR="00000000" w:rsidRDefault="00000000">
      <w:pPr>
        <w:spacing w:line="300" w:lineRule="exact"/>
        <w:ind w:left="442" w:hangingChars="200" w:hanging="442"/>
        <w:rPr>
          <w:rFonts w:ascii="楷体" w:eastAsia="楷体" w:hAnsi="楷体" w:hint="eastAsia"/>
          <w:color w:val="000000"/>
          <w:sz w:val="22"/>
          <w:szCs w:val="22"/>
        </w:rPr>
      </w:pPr>
      <w:r>
        <w:rPr>
          <w:rFonts w:ascii="楷体" w:eastAsia="楷体" w:hAnsi="楷体" w:hint="eastAsia"/>
          <w:b/>
          <w:bCs/>
          <w:color w:val="000000"/>
          <w:sz w:val="22"/>
          <w:szCs w:val="22"/>
        </w:rPr>
        <w:t>☆借款人、配偶及共同借款人通讯地址、联系方式等发生变化，应及时告知公积金中心进行变更。</w:t>
      </w:r>
      <w:r>
        <w:rPr>
          <w:rFonts w:ascii="楷体" w:eastAsia="楷体" w:hAnsi="楷体" w:hint="eastAsia"/>
          <w:color w:val="000000"/>
          <w:sz w:val="22"/>
          <w:szCs w:val="22"/>
        </w:rPr>
        <w:t>公积金咨询热线：12329</w:t>
      </w:r>
    </w:p>
    <w:p w14:paraId="597D9024" w14:textId="77777777" w:rsidR="00000000" w:rsidRDefault="00000000">
      <w:pPr>
        <w:spacing w:line="300" w:lineRule="exact"/>
        <w:ind w:firstLineChars="200" w:firstLine="440"/>
        <w:rPr>
          <w:rFonts w:ascii="楷体" w:eastAsia="楷体" w:hAnsi="楷体" w:hint="eastAsia"/>
          <w:b/>
          <w:bCs/>
          <w:color w:val="000000"/>
          <w:sz w:val="22"/>
          <w:szCs w:val="22"/>
        </w:rPr>
      </w:pPr>
      <w:r>
        <w:rPr>
          <w:rFonts w:ascii="楷体" w:eastAsia="楷体" w:hAnsi="楷体" w:hint="eastAsia"/>
          <w:color w:val="000000"/>
          <w:sz w:val="22"/>
          <w:szCs w:val="22"/>
        </w:rPr>
        <w:t>烟台市住房公积金管理中心：6669257     芝罘：2118909   开发区：6113194</w:t>
      </w:r>
    </w:p>
    <w:p w14:paraId="410F8F38" w14:textId="77777777" w:rsidR="00000000" w:rsidRDefault="00000000">
      <w:pPr>
        <w:spacing w:line="300" w:lineRule="exact"/>
        <w:ind w:firstLineChars="500" w:firstLine="1100"/>
        <w:rPr>
          <w:rFonts w:ascii="楷体" w:eastAsia="楷体" w:hAnsi="楷体" w:hint="eastAsia"/>
          <w:color w:val="000000"/>
          <w:sz w:val="22"/>
          <w:szCs w:val="22"/>
        </w:rPr>
      </w:pPr>
      <w:r>
        <w:rPr>
          <w:rFonts w:ascii="楷体" w:eastAsia="楷体" w:hAnsi="楷体" w:hint="eastAsia"/>
          <w:color w:val="000000"/>
          <w:sz w:val="22"/>
          <w:szCs w:val="22"/>
        </w:rPr>
        <w:t>莱山：6906393   福山：2130667   牟平：8947089   长  岛：3212102</w:t>
      </w:r>
    </w:p>
    <w:p w14:paraId="0CF61E87" w14:textId="77777777" w:rsidR="00000000" w:rsidRDefault="00000000">
      <w:pPr>
        <w:spacing w:line="300" w:lineRule="exact"/>
        <w:ind w:firstLineChars="500" w:firstLine="1100"/>
        <w:rPr>
          <w:rFonts w:ascii="楷体" w:eastAsia="楷体" w:hAnsi="楷体" w:hint="eastAsia"/>
          <w:color w:val="000000"/>
          <w:sz w:val="22"/>
          <w:szCs w:val="22"/>
        </w:rPr>
      </w:pPr>
      <w:r>
        <w:rPr>
          <w:rFonts w:ascii="楷体" w:eastAsia="楷体" w:hAnsi="楷体" w:hint="eastAsia"/>
          <w:color w:val="000000"/>
          <w:sz w:val="22"/>
          <w:szCs w:val="22"/>
        </w:rPr>
        <w:t>莱阳：7214683   海阳：3107705   栖霞：3375569   龙  口：8577880</w:t>
      </w:r>
    </w:p>
    <w:p w14:paraId="58FDE9F2" w14:textId="77777777" w:rsidR="00000000" w:rsidRDefault="00000000">
      <w:pPr>
        <w:spacing w:line="300" w:lineRule="exact"/>
        <w:ind w:firstLineChars="500" w:firstLine="1100"/>
      </w:pPr>
      <w:r>
        <w:rPr>
          <w:rFonts w:ascii="楷体" w:eastAsia="楷体" w:hAnsi="楷体" w:hint="eastAsia"/>
          <w:color w:val="000000"/>
          <w:sz w:val="22"/>
          <w:szCs w:val="22"/>
        </w:rPr>
        <w:t>蓬莱：3355355   莱州：2170909   招远：8225550   高新区：6922064</w:t>
      </w:r>
    </w:p>
    <w:p w14:paraId="2004DF01" w14:textId="77777777" w:rsidR="00000000" w:rsidRDefault="00000000">
      <w:pPr>
        <w:spacing w:line="280" w:lineRule="exact"/>
        <w:ind w:firstLineChars="500" w:firstLine="1050"/>
      </w:pPr>
    </w:p>
    <w:p w14:paraId="75EBE707" w14:textId="77777777" w:rsidR="00000000" w:rsidRDefault="00000000">
      <w:pPr>
        <w:spacing w:line="300" w:lineRule="exact"/>
        <w:ind w:firstLineChars="500" w:firstLine="1050"/>
      </w:pPr>
    </w:p>
    <w:p w14:paraId="760AE430" w14:textId="77777777" w:rsidR="00BB30D2" w:rsidRDefault="00BB30D2"/>
    <w:sectPr w:rsidR="00BB30D2">
      <w:headerReference w:type="even" r:id="rId6"/>
      <w:headerReference w:type="default" r:id="rId7"/>
      <w:footerReference w:type="even" r:id="rId8"/>
      <w:footerReference w:type="default" r:id="rId9"/>
      <w:headerReference w:type="first" r:id="rId10"/>
      <w:footerReference w:type="first" r:id="rId11"/>
      <w:pgSz w:w="11906" w:h="16838"/>
      <w:pgMar w:top="1247" w:right="1247" w:bottom="1247" w:left="1247" w:header="510" w:footer="992" w:gutter="0"/>
      <w:cols w:space="720"/>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4CF733" w14:textId="77777777" w:rsidR="00BB30D2" w:rsidRDefault="00BB30D2">
      <w:r>
        <w:separator/>
      </w:r>
    </w:p>
  </w:endnote>
  <w:endnote w:type="continuationSeparator" w:id="0">
    <w:p w14:paraId="5B141751" w14:textId="77777777" w:rsidR="00BB30D2" w:rsidRDefault="00BB3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8D8C7" w14:textId="77777777" w:rsidR="00000000" w:rsidRDefault="0000000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66DD1" w14:textId="77777777" w:rsidR="00000000" w:rsidRDefault="00000000">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81F35" w14:textId="77777777" w:rsidR="00000000" w:rsidRDefault="000000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56EFA7" w14:textId="77777777" w:rsidR="00BB30D2" w:rsidRDefault="00BB30D2">
      <w:r>
        <w:separator/>
      </w:r>
    </w:p>
  </w:footnote>
  <w:footnote w:type="continuationSeparator" w:id="0">
    <w:p w14:paraId="1CDAB64D" w14:textId="77777777" w:rsidR="00BB30D2" w:rsidRDefault="00BB3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FF553" w14:textId="77777777" w:rsidR="00000000" w:rsidRDefault="00000000">
    <w:pPr>
      <w:pStyle w:val="a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D88CD" w14:textId="77777777" w:rsidR="00000000" w:rsidRDefault="00000000">
    <w:pPr>
      <w:pStyle w:val="a5"/>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63329" w14:textId="77777777" w:rsidR="00000000" w:rsidRDefault="0000000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jA1OThhNDdhN2Q3Mjc5Yjk5ZDRhZjY2MjUwNzZkMTEifQ=="/>
  </w:docVars>
  <w:rsids>
    <w:rsidRoot w:val="1FD77359"/>
    <w:rsid w:val="00BB30D2"/>
    <w:rsid w:val="00FF5555"/>
    <w:rsid w:val="0FEF46A5"/>
    <w:rsid w:val="1FD77359"/>
    <w:rsid w:val="406F2F0F"/>
    <w:rsid w:val="4DFB070C"/>
    <w:rsid w:val="51B20121"/>
    <w:rsid w:val="57FA8122"/>
    <w:rsid w:val="594D39F6"/>
    <w:rsid w:val="5DB7647C"/>
    <w:rsid w:val="65A468C2"/>
    <w:rsid w:val="6F7CA312"/>
    <w:rsid w:val="6FAD3C61"/>
    <w:rsid w:val="79AF0FF7"/>
    <w:rsid w:val="7C3FD512"/>
    <w:rsid w:val="7EEF4AAB"/>
    <w:rsid w:val="A7EF2B0E"/>
    <w:rsid w:val="DFC1C1C3"/>
    <w:rsid w:val="DFCF0B0B"/>
    <w:rsid w:val="E7C7254B"/>
    <w:rsid w:val="F79F3D44"/>
    <w:rsid w:val="FBF4951E"/>
    <w:rsid w:val="FD7F4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B8632"/>
  <w15:chartTrackingRefBased/>
  <w15:docId w15:val="{851E9BF3-B186-48DB-8ADD-9EB7DEAB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pPr>
      <w:widowControl w:val="0"/>
      <w:jc w:val="both"/>
    </w:pPr>
    <w:rPr>
      <w:rFonts w:ascii="Times New Roman" w:hAnsi="Times New Roman"/>
      <w:kern w:val="2"/>
      <w:sz w:val="21"/>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footer"/>
    <w:qFormat/>
    <w:pPr>
      <w:widowControl w:val="0"/>
      <w:tabs>
        <w:tab w:val="center" w:pos="4153"/>
        <w:tab w:val="right" w:pos="8306"/>
      </w:tabs>
      <w:snapToGrid w:val="0"/>
    </w:pPr>
    <w:rPr>
      <w:rFonts w:ascii="Times New Roman" w:hAnsi="Times New Roman"/>
      <w:kern w:val="2"/>
      <w:sz w:val="18"/>
    </w:rPr>
  </w:style>
  <w:style w:type="paragraph" w:styleId="a5">
    <w:name w:val="header"/>
    <w:qFormat/>
    <w:pPr>
      <w:widowControl w:val="0"/>
      <w:pBdr>
        <w:top w:val="none" w:sz="0" w:space="1" w:color="auto"/>
        <w:left w:val="none" w:sz="0" w:space="4" w:color="auto"/>
        <w:bottom w:val="none" w:sz="0" w:space="1" w:color="auto"/>
        <w:right w:val="none" w:sz="0" w:space="4" w:color="auto"/>
      </w:pBdr>
      <w:tabs>
        <w:tab w:val="center" w:pos="4153"/>
        <w:tab w:val="right" w:pos="8306"/>
      </w:tabs>
      <w:snapToGrid w:val="0"/>
      <w:jc w:val="both"/>
    </w:pPr>
    <w:rPr>
      <w:rFonts w:ascii="Times New Roman" w:hAnsi="Times New Roman"/>
      <w:kern w:val="2"/>
      <w:sz w:val="18"/>
    </w:rPr>
  </w:style>
  <w:style w:type="paragraph" w:styleId="a6">
    <w:name w:val="No Spacing"/>
    <w:qFormat/>
    <w:pPr>
      <w:widowControl w:val="0"/>
      <w:jc w:val="both"/>
    </w:pPr>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341</Words>
  <Characters>1948</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3315867331@qq.com</cp:lastModifiedBy>
  <cp:revision>2</cp:revision>
  <cp:lastPrinted>2024-06-26T11:03:00Z</cp:lastPrinted>
  <dcterms:created xsi:type="dcterms:W3CDTF">2024-06-27T02:02:00Z</dcterms:created>
  <dcterms:modified xsi:type="dcterms:W3CDTF">2024-06-27T02:02:00Z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458F2A01554649F487A1D99CD780FAFA_12</vt:lpwstr>
  </property>
</Properties>
</file>