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目前哪些情况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下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</w:rPr>
        <w:t>可以提取住房公积金？</w:t>
      </w:r>
    </w:p>
    <w:p>
      <w:pPr>
        <w:ind w:firstLine="640" w:firstLineChars="20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答：</w:t>
      </w:r>
      <w:r>
        <w:rPr>
          <w:rFonts w:ascii="仿宋" w:hAnsi="仿宋" w:eastAsia="仿宋" w:cs="仿宋"/>
          <w:bCs/>
          <w:sz w:val="32"/>
          <w:szCs w:val="32"/>
        </w:rPr>
        <w:t>职工发生</w:t>
      </w:r>
      <w:r>
        <w:rPr>
          <w:rFonts w:hint="eastAsia" w:ascii="仿宋" w:hAnsi="仿宋" w:eastAsia="仿宋" w:cs="仿宋"/>
          <w:bCs/>
          <w:sz w:val="32"/>
          <w:szCs w:val="32"/>
        </w:rPr>
        <w:t>下列情形之一的，可申请提取住房公积金账户存储余额：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（一）购买、建造、翻建、大修自住住房的；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（二）偿还购房贷款本息的；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（三）职工连续足额缴存住房公积金满3个月，本人及配偶在烟台市行政区域内无自有产权住房且租赁住房的；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（四）退休的；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（五）出境定居的；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（六）职工死亡或被宣告死亡的；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（七）享受城镇居民最低生活保障的；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（八）完全丧失劳动能力，并与单位终止劳动关系的；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（九）本人、配偶或子女患重大疾病，造成家庭生活特别困难的；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（十）与单位解除或终止劳动关系未再就业且账户封存半年的；</w:t>
      </w:r>
    </w:p>
    <w:p>
      <w:pPr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（十一）职工既有住宅加装电梯的。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D60"/>
    <w:rsid w:val="002E5901"/>
    <w:rsid w:val="008C4D60"/>
    <w:rsid w:val="00A83FE4"/>
    <w:rsid w:val="76ED2CB7"/>
    <w:rsid w:val="DADA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50</Words>
  <Characters>286</Characters>
  <Lines>2</Lines>
  <Paragraphs>1</Paragraphs>
  <TotalTime>159</TotalTime>
  <ScaleCrop>false</ScaleCrop>
  <LinksUpToDate>false</LinksUpToDate>
  <CharactersWithSpaces>335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2021-07-27T00:15:00Z</dcterms:created>
  <dc:creator>MC SYSTEM</dc:creator>
  <cp:lastModifiedBy>user</cp:lastModifiedBy>
  <dcterms:modified xsi:type="dcterms:W3CDTF">2023-11-27T15:07:45Z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